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jc w:val="center"/>
        <w:rPr>
          <w:rFonts w:ascii="华文细黑" w:hAnsi="华文细黑" w:eastAsia="华文细黑"/>
          <w:b/>
          <w:color w:val="000000"/>
          <w:sz w:val="36"/>
          <w:szCs w:val="36"/>
        </w:rPr>
      </w:pPr>
    </w:p>
    <w:p>
      <w:pPr>
        <w:adjustRightInd w:val="0"/>
        <w:snapToGrid w:val="0"/>
        <w:jc w:val="center"/>
        <w:rPr>
          <w:rFonts w:hint="eastAsia" w:ascii="微软雅黑" w:hAnsi="微软雅黑" w:eastAsia="微软雅黑"/>
          <w:b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/>
          <w:b/>
          <w:sz w:val="44"/>
          <w:szCs w:val="44"/>
          <w:lang w:val="en-US" w:eastAsia="zh-CN"/>
        </w:rPr>
        <w:t>溪南中心小学新建教学楼工程</w:t>
      </w:r>
    </w:p>
    <w:p>
      <w:pPr>
        <w:adjustRightInd w:val="0"/>
        <w:snapToGrid w:val="0"/>
        <w:jc w:val="center"/>
        <w:rPr>
          <w:rFonts w:ascii="微软雅黑" w:hAnsi="微软雅黑" w:eastAsia="微软雅黑"/>
          <w:b/>
          <w:sz w:val="44"/>
          <w:szCs w:val="44"/>
        </w:rPr>
      </w:pPr>
      <w:r>
        <w:rPr>
          <w:rFonts w:hint="eastAsia" w:ascii="微软雅黑" w:hAnsi="微软雅黑" w:eastAsia="微软雅黑"/>
          <w:b/>
          <w:sz w:val="44"/>
          <w:szCs w:val="44"/>
        </w:rPr>
        <w:t>外窗可开启面积比分析报告</w:t>
      </w: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p>
      <w:pPr>
        <w:rPr>
          <w:rFonts w:ascii="微软雅黑" w:hAnsi="微软雅黑" w:eastAsia="微软雅黑"/>
          <w:color w:val="000000"/>
          <w:sz w:val="44"/>
          <w:szCs w:val="44"/>
        </w:rPr>
      </w:pPr>
    </w:p>
    <w:tbl>
      <w:tblPr>
        <w:tblStyle w:val="15"/>
        <w:tblW w:w="829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4"/>
        <w:gridCol w:w="59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项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目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名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称：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溪南中心小学新建教学楼工程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委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托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单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位：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40" w:lineRule="exac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汕头市澄海溪南中心小学</w:t>
            </w:r>
            <w:bookmarkStart w:id="9" w:name="_GoBack"/>
            <w:bookmarkEnd w:id="9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咨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询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单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位：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kern w:val="0"/>
                <w:sz w:val="30"/>
                <w:szCs w:val="30"/>
                <w:lang w:val="en-US" w:eastAsia="zh-CN" w:bidi="ar"/>
              </w:rPr>
              <w:t>广东新长安建筑设计院</w:t>
            </w:r>
            <w:r>
              <w:rPr>
                <w:rFonts w:hint="eastAsia"/>
                <w:b/>
                <w:kern w:val="0"/>
                <w:sz w:val="30"/>
                <w:szCs w:val="30"/>
                <w:lang w:bidi="ar"/>
              </w:rPr>
              <w:t>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报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告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日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 xml:space="preserve"> </w:t>
            </w:r>
            <w:r>
              <w:rPr>
                <w:rFonts w:hint="eastAsia" w:cs="宋体"/>
                <w:b/>
                <w:color w:val="000000"/>
                <w:kern w:val="0"/>
                <w:sz w:val="30"/>
                <w:szCs w:val="30"/>
                <w:lang w:bidi="ar"/>
              </w:rPr>
              <w:t>期：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201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9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年0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6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月</w:t>
            </w:r>
            <w:r>
              <w:rPr>
                <w:rFonts w:hint="eastAsia"/>
                <w:b/>
                <w:color w:val="000000"/>
                <w:kern w:val="0"/>
                <w:sz w:val="30"/>
                <w:szCs w:val="30"/>
                <w:lang w:val="en-US" w:eastAsia="zh-CN" w:bidi="ar"/>
              </w:rPr>
              <w:t>29</w:t>
            </w:r>
            <w:r>
              <w:rPr>
                <w:b/>
                <w:color w:val="000000"/>
                <w:kern w:val="0"/>
                <w:sz w:val="30"/>
                <w:szCs w:val="30"/>
                <w:lang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34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30"/>
                <w:szCs w:val="30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32"/>
          <w:szCs w:val="32"/>
          <w:lang w:val="zh-CN"/>
        </w:rPr>
      </w:pPr>
    </w:p>
    <w:p>
      <w:pPr>
        <w:spacing w:line="360" w:lineRule="auto"/>
        <w:jc w:val="center"/>
        <w:rPr>
          <w:rFonts w:ascii="宋体" w:hAnsi="宋体"/>
          <w:b/>
          <w:sz w:val="32"/>
          <w:szCs w:val="32"/>
          <w:lang w:val="zh-CN"/>
        </w:rPr>
      </w:pPr>
    </w:p>
    <w:p>
      <w:pPr>
        <w:spacing w:line="360" w:lineRule="auto"/>
        <w:jc w:val="center"/>
        <w:rPr>
          <w:rFonts w:ascii="宋体" w:hAnsi="宋体"/>
          <w:b/>
          <w:sz w:val="32"/>
          <w:szCs w:val="32"/>
          <w:lang w:val="zh-CN"/>
        </w:rPr>
      </w:pPr>
      <w:r>
        <w:rPr>
          <w:rFonts w:ascii="宋体" w:hAnsi="宋体"/>
          <w:b/>
          <w:sz w:val="32"/>
          <w:szCs w:val="32"/>
          <w:lang w:val="zh-CN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24"/>
          <w:szCs w:val="24"/>
          <w:lang w:val="zh-CN"/>
        </w:rPr>
      </w:pP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b/>
          <w:sz w:val="24"/>
          <w:szCs w:val="24"/>
        </w:rPr>
        <w:instrText xml:space="preserve"> TOC \o "1-3" \h \z \u </w:instrText>
      </w:r>
      <w:r>
        <w:rPr>
          <w:rFonts w:hint="eastAsia" w:asciiTheme="majorEastAsia" w:hAnsiTheme="majorEastAsia" w:eastAsiaTheme="majorEastAsia" w:cstheme="majorEastAsia"/>
          <w:b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 HYPERLINK \l _Toc28616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一、项目概况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 PAGEREF _Toc28616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begin"/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instrText xml:space="preserve"> HYPERLINK \l _Toc32242 </w:instrText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二、评价标准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 PAGEREF _Toc32242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end"/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begin"/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instrText xml:space="preserve"> HYPERLINK \l _Toc30556 </w:instrText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、项目外窗可开启面积比分析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 PAGEREF _Toc30556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end"/>
      </w:r>
    </w:p>
    <w:p>
      <w:pPr>
        <w:pStyle w:val="12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begin"/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instrText xml:space="preserve"> HYPERLINK \l _Toc24920 </w:instrText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、结论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 PAGEREF _Toc24920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2"/>
          <w:sz w:val="24"/>
          <w:szCs w:val="24"/>
          <w:lang w:val="zh-CN" w:eastAsia="zh-CN" w:bidi="ar-SA"/>
        </w:rPr>
        <w:fldChar w:fldCharType="end"/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宋体" w:hAnsi="宋体"/>
          <w:b/>
          <w:color w:val="000000"/>
          <w:sz w:val="24"/>
          <w:szCs w:val="24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ascii="宋体" w:hAnsi="宋体"/>
          <w:b/>
          <w:color w:val="000000"/>
          <w:sz w:val="36"/>
          <w:szCs w:val="36"/>
        </w:rPr>
      </w:pPr>
      <w:bookmarkStart w:id="0" w:name="_Toc421091536"/>
      <w:bookmarkStart w:id="1" w:name="_Toc421091705"/>
      <w:bookmarkStart w:id="2" w:name="_Toc421115827"/>
      <w:bookmarkStart w:id="3" w:name="_Toc7480"/>
      <w:bookmarkStart w:id="4" w:name="_Toc421108246"/>
      <w:r>
        <w:rPr>
          <w:rFonts w:hint="eastAsia" w:ascii="宋体" w:hAnsi="宋体"/>
          <w:b/>
          <w:color w:val="000000"/>
          <w:sz w:val="36"/>
          <w:szCs w:val="36"/>
        </w:rPr>
        <w:t>外窗可开启面积比分析报告</w:t>
      </w:r>
    </w:p>
    <w:p>
      <w:pPr>
        <w:pStyle w:val="2"/>
        <w:spacing w:before="0" w:after="0" w:line="240" w:lineRule="auto"/>
        <w:rPr>
          <w:rFonts w:ascii="宋体" w:hAnsi="宋体"/>
        </w:rPr>
      </w:pPr>
      <w:bookmarkStart w:id="5" w:name="_Toc28616"/>
      <w:r>
        <w:rPr>
          <w:rFonts w:ascii="宋体" w:hAnsi="宋体"/>
        </w:rPr>
        <w:t>一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项目概况</w:t>
      </w:r>
      <w:bookmarkEnd w:id="0"/>
      <w:bookmarkEnd w:id="1"/>
      <w:bookmarkEnd w:id="2"/>
      <w:bookmarkEnd w:id="3"/>
      <w:bookmarkEnd w:id="4"/>
      <w:bookmarkEnd w:id="5"/>
    </w:p>
    <w:p>
      <w:pPr>
        <w:pStyle w:val="38"/>
        <w:ind w:firstLine="480"/>
      </w:pPr>
      <w:r>
        <w:rPr>
          <w:rFonts w:hint="eastAsia"/>
        </w:rPr>
        <w:t>本项目位于</w:t>
      </w:r>
      <w:r>
        <w:rPr>
          <w:rFonts w:hint="eastAsia"/>
          <w:lang w:val="en-US" w:eastAsia="zh-CN"/>
        </w:rPr>
        <w:t>广东省汕头市澄海区</w:t>
      </w:r>
      <w:r>
        <w:rPr>
          <w:rStyle w:val="39"/>
          <w:rFonts w:hint="eastAsia"/>
          <w:sz w:val="24"/>
          <w:szCs w:val="24"/>
        </w:rPr>
        <w:t>，</w:t>
      </w:r>
      <w:r>
        <w:rPr>
          <w:rStyle w:val="39"/>
          <w:rFonts w:hint="eastAsia"/>
          <w:sz w:val="24"/>
          <w:szCs w:val="24"/>
          <w:lang w:val="en-US" w:eastAsia="zh-CN"/>
        </w:rPr>
        <w:t>项目属于学校建筑，</w:t>
      </w:r>
      <w:r>
        <w:rPr>
          <w:rStyle w:val="39"/>
          <w:rFonts w:hint="eastAsia"/>
          <w:sz w:val="24"/>
          <w:szCs w:val="24"/>
        </w:rPr>
        <w:t>项目总建筑面积</w:t>
      </w:r>
      <w:r>
        <w:rPr>
          <w:rStyle w:val="39"/>
          <w:rFonts w:hint="eastAsia"/>
          <w:sz w:val="24"/>
          <w:szCs w:val="24"/>
          <w:lang w:val="en-US" w:eastAsia="zh-CN"/>
        </w:rPr>
        <w:t>2248.55</w:t>
      </w:r>
      <w:r>
        <w:rPr>
          <w:rStyle w:val="39"/>
          <w:rFonts w:hint="eastAsia"/>
          <w:sz w:val="24"/>
          <w:szCs w:val="24"/>
        </w:rPr>
        <w:t>㎡，</w:t>
      </w:r>
      <w:r>
        <w:rPr>
          <w:rStyle w:val="39"/>
          <w:rFonts w:hint="eastAsia" w:eastAsia="宋体"/>
          <w:sz w:val="24"/>
          <w:szCs w:val="24"/>
          <w:lang w:eastAsia="zh-CN"/>
        </w:rPr>
        <w:t>规划总用地面积</w:t>
      </w:r>
      <w:r>
        <w:rPr>
          <w:rStyle w:val="39"/>
          <w:rFonts w:hint="eastAsia"/>
          <w:sz w:val="24"/>
          <w:szCs w:val="24"/>
          <w:lang w:val="en-US" w:eastAsia="zh-CN"/>
        </w:rPr>
        <w:t>11364.70</w:t>
      </w:r>
      <w:r>
        <w:rPr>
          <w:rStyle w:val="39"/>
          <w:rFonts w:hint="eastAsia"/>
          <w:sz w:val="24"/>
          <w:szCs w:val="24"/>
        </w:rPr>
        <w:t>㎡</w:t>
      </w:r>
      <w:r>
        <w:rPr>
          <w:rStyle w:val="39"/>
          <w:rFonts w:hint="eastAsia" w:eastAsia="宋体"/>
          <w:sz w:val="24"/>
          <w:szCs w:val="24"/>
          <w:lang w:eastAsia="zh-CN"/>
        </w:rPr>
        <w:t>，</w:t>
      </w:r>
      <w:r>
        <w:rPr>
          <w:rStyle w:val="39"/>
          <w:rFonts w:hint="eastAsia" w:eastAsia="宋体"/>
          <w:sz w:val="24"/>
          <w:szCs w:val="24"/>
          <w:lang w:val="en-US" w:eastAsia="zh-CN"/>
        </w:rPr>
        <w:t>地上</w:t>
      </w:r>
      <w:r>
        <w:rPr>
          <w:rStyle w:val="39"/>
          <w:rFonts w:hint="eastAsia"/>
          <w:sz w:val="24"/>
          <w:szCs w:val="24"/>
          <w:lang w:val="en-US" w:eastAsia="zh-CN"/>
        </w:rPr>
        <w:t>3</w:t>
      </w:r>
      <w:r>
        <w:rPr>
          <w:rStyle w:val="39"/>
          <w:rFonts w:hint="eastAsia" w:eastAsia="宋体"/>
          <w:sz w:val="24"/>
          <w:szCs w:val="24"/>
          <w:lang w:val="en-US" w:eastAsia="zh-CN"/>
        </w:rPr>
        <w:t>层</w:t>
      </w:r>
      <w:r>
        <w:rPr>
          <w:rStyle w:val="39"/>
          <w:rFonts w:hint="eastAsia"/>
          <w:sz w:val="24"/>
          <w:szCs w:val="24"/>
          <w:lang w:val="en-US" w:eastAsia="zh-CN"/>
        </w:rPr>
        <w:t>，建筑高度为13.15m</w:t>
      </w:r>
      <w:r>
        <w:rPr>
          <w:rStyle w:val="39"/>
          <w:rFonts w:hint="eastAsia" w:eastAsia="宋体"/>
          <w:sz w:val="24"/>
          <w:szCs w:val="24"/>
          <w:lang w:val="en-US" w:eastAsia="zh-CN"/>
        </w:rPr>
        <w:t>。</w:t>
      </w:r>
    </w:p>
    <w:p>
      <w:pPr>
        <w:jc w:val="center"/>
      </w:pPr>
      <w:r>
        <w:drawing>
          <wp:inline distT="0" distB="0" distL="114300" distR="114300">
            <wp:extent cx="5272405" cy="4652645"/>
            <wp:effectExtent l="9525" t="9525" r="13970" b="241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65264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图1 </w:t>
      </w:r>
      <w:r>
        <w:rPr>
          <w:rFonts w:hint="eastAsia" w:ascii="Times New Roman" w:hAnsi="Times New Roman"/>
          <w:bCs/>
        </w:rPr>
        <w:t>项目规划总平面图</w:t>
      </w:r>
    </w:p>
    <w:p>
      <w:pPr>
        <w:pStyle w:val="2"/>
        <w:spacing w:before="0" w:after="0" w:line="240" w:lineRule="auto"/>
      </w:pPr>
      <w:bookmarkStart w:id="6" w:name="_Toc32242"/>
      <w:r>
        <w:rPr>
          <w:rFonts w:hint="eastAsia"/>
        </w:rPr>
        <w:t>二、</w:t>
      </w:r>
      <w:r>
        <w:t>评价标准</w:t>
      </w:r>
      <w:bookmarkEnd w:id="6"/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满足《绿色建筑评价标准》GB/T 50378-2014中5.2.2条：外窗、玻璃幕墙的可开启部分能使建筑获得良好的通风，评价总分值为6分，并按下列规则评分：</w:t>
      </w:r>
    </w:p>
    <w:p>
      <w:pPr>
        <w:jc w:val="center"/>
        <w:rPr>
          <w:rFonts w:hint="eastAsia" w:ascii="Times New Roman" w:hAnsi="Times New Roman"/>
          <w:b/>
        </w:rPr>
      </w:pPr>
    </w:p>
    <w:p>
      <w:pPr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表1 </w:t>
      </w:r>
      <w:r>
        <w:rPr>
          <w:rFonts w:hint="eastAsia" w:ascii="Times New Roman" w:hAnsi="Times New Roman"/>
          <w:bCs/>
        </w:rPr>
        <w:t>项目外窗可开启面积评分细则</w:t>
      </w:r>
    </w:p>
    <w:tbl>
      <w:tblPr>
        <w:tblStyle w:val="16"/>
        <w:tblW w:w="83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5"/>
        <w:gridCol w:w="1742"/>
        <w:gridCol w:w="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62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评分细则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可开启面积比例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62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设外窗且不设玻璃幕墙的建筑，外窗可开启面积比例达到</w:t>
            </w:r>
          </w:p>
        </w:tc>
        <w:tc>
          <w:tcPr>
            <w:tcW w:w="17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30%</w:t>
            </w:r>
          </w:p>
        </w:tc>
        <w:tc>
          <w:tcPr>
            <w:tcW w:w="9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62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%</w:t>
            </w:r>
          </w:p>
        </w:tc>
        <w:tc>
          <w:tcPr>
            <w:tcW w:w="9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合计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</w:tr>
    </w:tbl>
    <w:p>
      <w:pPr>
        <w:pStyle w:val="2"/>
        <w:spacing w:before="0" w:after="0" w:line="240" w:lineRule="auto"/>
      </w:pPr>
      <w:bookmarkStart w:id="7" w:name="_Toc30556"/>
      <w:r>
        <w:rPr>
          <w:rFonts w:hint="eastAsia"/>
          <w:lang w:val="en-US" w:eastAsia="zh-CN"/>
        </w:rPr>
        <w:t>三</w:t>
      </w:r>
      <w:r>
        <w:rPr>
          <w:rFonts w:hint="eastAsia"/>
        </w:rPr>
        <w:t>、项目外窗可开启面积比分析</w:t>
      </w:r>
      <w:bookmarkEnd w:id="7"/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该项目外窗可开启面积比如下：</w:t>
      </w:r>
    </w:p>
    <w:p>
      <w:pPr>
        <w:jc w:val="center"/>
        <w:rPr>
          <w:rFonts w:ascii="宋体" w:hAnsi="宋体"/>
          <w:bCs/>
          <w:color w:val="000000"/>
          <w:kern w:val="0"/>
          <w:szCs w:val="24"/>
        </w:rPr>
      </w:pPr>
      <w:r>
        <w:rPr>
          <w:rFonts w:hint="eastAsia" w:ascii="宋体" w:hAnsi="宋体"/>
          <w:b/>
          <w:color w:val="000000"/>
          <w:kern w:val="0"/>
          <w:szCs w:val="24"/>
        </w:rPr>
        <w:t>表</w:t>
      </w:r>
      <w:r>
        <w:rPr>
          <w:rFonts w:hint="eastAsia" w:ascii="宋体" w:hAnsi="宋体"/>
          <w:b/>
          <w:color w:val="000000"/>
          <w:kern w:val="0"/>
          <w:szCs w:val="24"/>
          <w:lang w:val="en-US" w:eastAsia="zh-CN"/>
        </w:rPr>
        <w:t>2</w:t>
      </w:r>
      <w:r>
        <w:rPr>
          <w:rFonts w:hint="eastAsia" w:ascii="宋体" w:hAnsi="宋体"/>
          <w:b/>
          <w:color w:val="000000"/>
          <w:kern w:val="0"/>
          <w:szCs w:val="24"/>
        </w:rPr>
        <w:t xml:space="preserve"> </w:t>
      </w:r>
      <w:r>
        <w:rPr>
          <w:rFonts w:hint="eastAsia" w:ascii="宋体" w:hAnsi="宋体"/>
          <w:bCs/>
          <w:color w:val="000000"/>
          <w:kern w:val="0"/>
          <w:szCs w:val="24"/>
        </w:rPr>
        <w:t>项目可开启面积比统计表</w:t>
      </w:r>
    </w:p>
    <w:tbl>
      <w:tblPr>
        <w:tblStyle w:val="1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1028"/>
        <w:gridCol w:w="1129"/>
        <w:gridCol w:w="1096"/>
        <w:gridCol w:w="758"/>
        <w:gridCol w:w="793"/>
        <w:gridCol w:w="1064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编号</w:t>
            </w:r>
          </w:p>
        </w:tc>
        <w:tc>
          <w:tcPr>
            <w:tcW w:w="102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外窗类型</w:t>
            </w:r>
          </w:p>
        </w:tc>
        <w:tc>
          <w:tcPr>
            <w:tcW w:w="222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外窗尺寸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面积㎡</w:t>
            </w:r>
          </w:p>
        </w:tc>
        <w:tc>
          <w:tcPr>
            <w:tcW w:w="79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数量（个）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可开启面积㎡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可开启面积比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窗户宽m</w:t>
            </w:r>
          </w:p>
        </w:tc>
        <w:tc>
          <w:tcPr>
            <w:tcW w:w="109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  <w:t>窗户高m</w:t>
            </w:r>
          </w:p>
        </w:tc>
        <w:tc>
          <w:tcPr>
            <w:tcW w:w="758" w:type="dxa"/>
            <w:vMerge w:val="continue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BY0607</w:t>
            </w: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百叶窗</w:t>
            </w: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600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700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0.42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C1215</w:t>
            </w: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平开窗</w:t>
            </w: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1200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1500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=1160*1440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C1217</w:t>
            </w:r>
          </w:p>
        </w:tc>
        <w:tc>
          <w:tcPr>
            <w:tcW w:w="1028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推拉窗</w:t>
            </w: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=1080*1160/2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C2109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1.89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=2260*860/2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C2114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2.94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=2260*1360/2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C2217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3.74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=2160*1080/2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C2223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5.06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=2160*1080/2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C2309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2.07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=2260*860/2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C2314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3.22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=2260*1360/2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C3017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=2960*1080/2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C2217a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3.74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=1080*1080/2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C2217b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3.74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=1080*1080/2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GC0907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0.63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=1160*660/2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GC1207</w:t>
            </w:r>
          </w:p>
        </w:tc>
        <w:tc>
          <w:tcPr>
            <w:tcW w:w="1028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10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0.84</w:t>
            </w:r>
          </w:p>
        </w:tc>
        <w:tc>
          <w:tcPr>
            <w:tcW w:w="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=1160*660/2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26" w:type="dxa"/>
            <w:gridSpan w:val="4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1"/>
                <w:szCs w:val="21"/>
              </w:rPr>
              <w:t>总计（各种面积）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385.34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121.74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31.59%</w:t>
            </w:r>
          </w:p>
        </w:tc>
      </w:tr>
    </w:tbl>
    <w:p>
      <w:pPr>
        <w:pStyle w:val="2"/>
        <w:spacing w:before="0" w:after="0" w:line="240" w:lineRule="auto"/>
        <w:rPr>
          <w:rFonts w:hint="eastAsia"/>
        </w:rPr>
      </w:pPr>
    </w:p>
    <w:p>
      <w:pPr>
        <w:pStyle w:val="2"/>
        <w:spacing w:before="0" w:after="0" w:line="240" w:lineRule="auto"/>
      </w:pPr>
      <w:bookmarkStart w:id="8" w:name="_Toc24920"/>
      <w:r>
        <w:rPr>
          <w:rFonts w:hint="eastAsia"/>
          <w:lang w:val="en-US" w:eastAsia="zh-CN"/>
        </w:rPr>
        <w:t>四</w:t>
      </w:r>
      <w:r>
        <w:rPr>
          <w:rFonts w:hint="eastAsia"/>
        </w:rPr>
        <w:t>、结论</w:t>
      </w:r>
      <w:bookmarkEnd w:id="8"/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经以上分析，项目外窗可开启面积比大于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，依据《绿色建筑评价标准》GB/T 50378-2014中5.2.2的评分要求。该条目可得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分。</w:t>
      </w:r>
    </w:p>
    <w:p>
      <w:pPr>
        <w:spacing w:line="400" w:lineRule="exact"/>
        <w:ind w:firstLine="422" w:firstLineChars="200"/>
        <w:jc w:val="center"/>
        <w:rPr>
          <w:rFonts w:ascii="宋体" w:hAnsi="宋体"/>
          <w:b/>
          <w:color w:val="000000"/>
          <w:kern w:val="0"/>
          <w:szCs w:val="24"/>
        </w:rPr>
      </w:pPr>
      <w:r>
        <w:rPr>
          <w:rFonts w:hint="eastAsia" w:ascii="宋体" w:hAnsi="宋体"/>
          <w:b/>
          <w:color w:val="000000"/>
          <w:kern w:val="0"/>
          <w:szCs w:val="24"/>
        </w:rPr>
        <w:t>表</w:t>
      </w:r>
      <w:r>
        <w:rPr>
          <w:rFonts w:hint="eastAsia" w:ascii="宋体" w:hAnsi="宋体"/>
          <w:b/>
          <w:color w:val="000000"/>
          <w:kern w:val="0"/>
          <w:szCs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kern w:val="0"/>
          <w:szCs w:val="24"/>
        </w:rPr>
        <w:t xml:space="preserve"> </w:t>
      </w:r>
      <w:r>
        <w:rPr>
          <w:rFonts w:hint="eastAsia" w:ascii="宋体" w:hAnsi="宋体"/>
          <w:bCs/>
          <w:color w:val="000000"/>
          <w:kern w:val="0"/>
          <w:szCs w:val="24"/>
        </w:rPr>
        <w:t>外窗可开启面积得分自评</w:t>
      </w:r>
    </w:p>
    <w:tbl>
      <w:tblPr>
        <w:tblStyle w:val="16"/>
        <w:tblW w:w="83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  <w:gridCol w:w="1935"/>
        <w:gridCol w:w="691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26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评分细则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可开启面积比例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得分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得分自评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2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设外窗且不设玻璃幕墙的建筑，外窗可开启面积比例达到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30%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%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46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合计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</w:t>
            </w:r>
          </w:p>
        </w:tc>
      </w:tr>
    </w:tbl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</w:p>
    <w:sectPr>
      <w:headerReference r:id="rId8" w:type="first"/>
      <w:headerReference r:id="rId7" w:type="default"/>
      <w:footerReference r:id="rId9" w:type="default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end"/>
    </w:r>
  </w:p>
  <w:p>
    <w:pPr>
      <w:pStyle w:val="1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9C"/>
    <w:rsid w:val="000030F6"/>
    <w:rsid w:val="00012611"/>
    <w:rsid w:val="0001778F"/>
    <w:rsid w:val="00021305"/>
    <w:rsid w:val="00022954"/>
    <w:rsid w:val="000257EE"/>
    <w:rsid w:val="00030C4F"/>
    <w:rsid w:val="00060768"/>
    <w:rsid w:val="00060F17"/>
    <w:rsid w:val="0006511B"/>
    <w:rsid w:val="000708DE"/>
    <w:rsid w:val="00077DFF"/>
    <w:rsid w:val="00085B57"/>
    <w:rsid w:val="00095784"/>
    <w:rsid w:val="000A0344"/>
    <w:rsid w:val="000B57A6"/>
    <w:rsid w:val="000C3CDD"/>
    <w:rsid w:val="000D5252"/>
    <w:rsid w:val="000F368F"/>
    <w:rsid w:val="000F37BE"/>
    <w:rsid w:val="001005DF"/>
    <w:rsid w:val="00102AE2"/>
    <w:rsid w:val="00102AFD"/>
    <w:rsid w:val="001030F7"/>
    <w:rsid w:val="00104BFD"/>
    <w:rsid w:val="00105CE2"/>
    <w:rsid w:val="00122E76"/>
    <w:rsid w:val="001331E8"/>
    <w:rsid w:val="00137DF2"/>
    <w:rsid w:val="00142DD2"/>
    <w:rsid w:val="001433D7"/>
    <w:rsid w:val="00151B82"/>
    <w:rsid w:val="0016179C"/>
    <w:rsid w:val="001716A1"/>
    <w:rsid w:val="00182C2B"/>
    <w:rsid w:val="001878E3"/>
    <w:rsid w:val="001979DD"/>
    <w:rsid w:val="001A31A1"/>
    <w:rsid w:val="001B2B14"/>
    <w:rsid w:val="001D4C49"/>
    <w:rsid w:val="001E72EC"/>
    <w:rsid w:val="00205112"/>
    <w:rsid w:val="002064E2"/>
    <w:rsid w:val="002106A1"/>
    <w:rsid w:val="002150C4"/>
    <w:rsid w:val="00216C38"/>
    <w:rsid w:val="00222B21"/>
    <w:rsid w:val="002325A0"/>
    <w:rsid w:val="00252777"/>
    <w:rsid w:val="00257248"/>
    <w:rsid w:val="002669FC"/>
    <w:rsid w:val="0027603E"/>
    <w:rsid w:val="00282B64"/>
    <w:rsid w:val="00287B51"/>
    <w:rsid w:val="002969A4"/>
    <w:rsid w:val="002A48EA"/>
    <w:rsid w:val="002B1B62"/>
    <w:rsid w:val="002B50F6"/>
    <w:rsid w:val="002D6195"/>
    <w:rsid w:val="002D6A40"/>
    <w:rsid w:val="003020B2"/>
    <w:rsid w:val="0030634B"/>
    <w:rsid w:val="00310A73"/>
    <w:rsid w:val="00313104"/>
    <w:rsid w:val="0031552B"/>
    <w:rsid w:val="003232BE"/>
    <w:rsid w:val="00326668"/>
    <w:rsid w:val="00330F87"/>
    <w:rsid w:val="0033688B"/>
    <w:rsid w:val="003401F3"/>
    <w:rsid w:val="00344DD3"/>
    <w:rsid w:val="0035625F"/>
    <w:rsid w:val="00367031"/>
    <w:rsid w:val="0038357D"/>
    <w:rsid w:val="00386A8C"/>
    <w:rsid w:val="00397481"/>
    <w:rsid w:val="003B1A88"/>
    <w:rsid w:val="003B430D"/>
    <w:rsid w:val="003C1934"/>
    <w:rsid w:val="003E54B8"/>
    <w:rsid w:val="003F5618"/>
    <w:rsid w:val="003F6415"/>
    <w:rsid w:val="003F6C84"/>
    <w:rsid w:val="004031AA"/>
    <w:rsid w:val="00403EF4"/>
    <w:rsid w:val="00411EE5"/>
    <w:rsid w:val="004134B8"/>
    <w:rsid w:val="00424CBE"/>
    <w:rsid w:val="00433656"/>
    <w:rsid w:val="00441E51"/>
    <w:rsid w:val="004433E9"/>
    <w:rsid w:val="004445F9"/>
    <w:rsid w:val="004673CE"/>
    <w:rsid w:val="00471A80"/>
    <w:rsid w:val="004775ED"/>
    <w:rsid w:val="00486351"/>
    <w:rsid w:val="004B47D4"/>
    <w:rsid w:val="004C468A"/>
    <w:rsid w:val="004E6B2E"/>
    <w:rsid w:val="00510F1B"/>
    <w:rsid w:val="00514BF9"/>
    <w:rsid w:val="005160AE"/>
    <w:rsid w:val="00516D5B"/>
    <w:rsid w:val="00535439"/>
    <w:rsid w:val="0055131D"/>
    <w:rsid w:val="005641E8"/>
    <w:rsid w:val="00570D30"/>
    <w:rsid w:val="00574BA4"/>
    <w:rsid w:val="00585F5C"/>
    <w:rsid w:val="00587C74"/>
    <w:rsid w:val="00593023"/>
    <w:rsid w:val="005A5A52"/>
    <w:rsid w:val="005C1872"/>
    <w:rsid w:val="005C1E67"/>
    <w:rsid w:val="005D52DC"/>
    <w:rsid w:val="005D7B2D"/>
    <w:rsid w:val="005F271F"/>
    <w:rsid w:val="005F3A5B"/>
    <w:rsid w:val="005F6DC0"/>
    <w:rsid w:val="005F7D84"/>
    <w:rsid w:val="0060262A"/>
    <w:rsid w:val="0060425B"/>
    <w:rsid w:val="00625274"/>
    <w:rsid w:val="006274CA"/>
    <w:rsid w:val="00632A88"/>
    <w:rsid w:val="00645CF1"/>
    <w:rsid w:val="00651B09"/>
    <w:rsid w:val="00651F55"/>
    <w:rsid w:val="00666144"/>
    <w:rsid w:val="006667B6"/>
    <w:rsid w:val="00685917"/>
    <w:rsid w:val="006923B6"/>
    <w:rsid w:val="006956EA"/>
    <w:rsid w:val="006A3A3F"/>
    <w:rsid w:val="006D2A1E"/>
    <w:rsid w:val="006D5043"/>
    <w:rsid w:val="006E51C3"/>
    <w:rsid w:val="00707450"/>
    <w:rsid w:val="00724750"/>
    <w:rsid w:val="00726582"/>
    <w:rsid w:val="0073192D"/>
    <w:rsid w:val="007336B2"/>
    <w:rsid w:val="007347B4"/>
    <w:rsid w:val="00745C01"/>
    <w:rsid w:val="00761F1D"/>
    <w:rsid w:val="0077453D"/>
    <w:rsid w:val="00780D5A"/>
    <w:rsid w:val="007A37DB"/>
    <w:rsid w:val="007A5813"/>
    <w:rsid w:val="007B1379"/>
    <w:rsid w:val="007C6A16"/>
    <w:rsid w:val="007E758D"/>
    <w:rsid w:val="007F3883"/>
    <w:rsid w:val="00801D57"/>
    <w:rsid w:val="00805A79"/>
    <w:rsid w:val="008064AD"/>
    <w:rsid w:val="008113B9"/>
    <w:rsid w:val="00811CE6"/>
    <w:rsid w:val="0081625D"/>
    <w:rsid w:val="00823F62"/>
    <w:rsid w:val="00832794"/>
    <w:rsid w:val="00834072"/>
    <w:rsid w:val="00837F5B"/>
    <w:rsid w:val="00851933"/>
    <w:rsid w:val="0086066C"/>
    <w:rsid w:val="00864D03"/>
    <w:rsid w:val="008670C6"/>
    <w:rsid w:val="00870036"/>
    <w:rsid w:val="00871812"/>
    <w:rsid w:val="00883CFF"/>
    <w:rsid w:val="0088654F"/>
    <w:rsid w:val="0089013B"/>
    <w:rsid w:val="00892862"/>
    <w:rsid w:val="00892DE0"/>
    <w:rsid w:val="00895E8A"/>
    <w:rsid w:val="008A07CC"/>
    <w:rsid w:val="008B4421"/>
    <w:rsid w:val="008D52FD"/>
    <w:rsid w:val="008E182D"/>
    <w:rsid w:val="009128BF"/>
    <w:rsid w:val="00921C8F"/>
    <w:rsid w:val="009226F3"/>
    <w:rsid w:val="00922A4A"/>
    <w:rsid w:val="0092708E"/>
    <w:rsid w:val="00933737"/>
    <w:rsid w:val="009348C4"/>
    <w:rsid w:val="00941CB0"/>
    <w:rsid w:val="00943CE6"/>
    <w:rsid w:val="00975CF1"/>
    <w:rsid w:val="00991F53"/>
    <w:rsid w:val="009B104B"/>
    <w:rsid w:val="009B3260"/>
    <w:rsid w:val="009C117A"/>
    <w:rsid w:val="009E67CD"/>
    <w:rsid w:val="009E79E3"/>
    <w:rsid w:val="009E7FCD"/>
    <w:rsid w:val="009F51EA"/>
    <w:rsid w:val="009F61CE"/>
    <w:rsid w:val="00A02F28"/>
    <w:rsid w:val="00A06AE8"/>
    <w:rsid w:val="00A134B4"/>
    <w:rsid w:val="00A2168A"/>
    <w:rsid w:val="00A25568"/>
    <w:rsid w:val="00A41517"/>
    <w:rsid w:val="00A41C1D"/>
    <w:rsid w:val="00A51F40"/>
    <w:rsid w:val="00A637FF"/>
    <w:rsid w:val="00A67C6B"/>
    <w:rsid w:val="00A82851"/>
    <w:rsid w:val="00A83265"/>
    <w:rsid w:val="00A853BD"/>
    <w:rsid w:val="00A863EC"/>
    <w:rsid w:val="00A900DC"/>
    <w:rsid w:val="00AA27D6"/>
    <w:rsid w:val="00AB6248"/>
    <w:rsid w:val="00AB6941"/>
    <w:rsid w:val="00AD3C49"/>
    <w:rsid w:val="00AE5DA8"/>
    <w:rsid w:val="00AF6137"/>
    <w:rsid w:val="00AF669F"/>
    <w:rsid w:val="00B076F0"/>
    <w:rsid w:val="00B12744"/>
    <w:rsid w:val="00B166C7"/>
    <w:rsid w:val="00B22CEE"/>
    <w:rsid w:val="00B3378A"/>
    <w:rsid w:val="00B41C31"/>
    <w:rsid w:val="00B50987"/>
    <w:rsid w:val="00B572D9"/>
    <w:rsid w:val="00B60EC4"/>
    <w:rsid w:val="00B6629E"/>
    <w:rsid w:val="00B72D46"/>
    <w:rsid w:val="00B77A6E"/>
    <w:rsid w:val="00B82303"/>
    <w:rsid w:val="00B82C99"/>
    <w:rsid w:val="00BA0A13"/>
    <w:rsid w:val="00BB1301"/>
    <w:rsid w:val="00BC0EF8"/>
    <w:rsid w:val="00BC7FD0"/>
    <w:rsid w:val="00BD5867"/>
    <w:rsid w:val="00BE6F92"/>
    <w:rsid w:val="00BF3936"/>
    <w:rsid w:val="00BF58E3"/>
    <w:rsid w:val="00C07C82"/>
    <w:rsid w:val="00C07E2F"/>
    <w:rsid w:val="00C13C2C"/>
    <w:rsid w:val="00C219F6"/>
    <w:rsid w:val="00C26D55"/>
    <w:rsid w:val="00C30D44"/>
    <w:rsid w:val="00C434C0"/>
    <w:rsid w:val="00C50FE8"/>
    <w:rsid w:val="00C56F7E"/>
    <w:rsid w:val="00C57087"/>
    <w:rsid w:val="00C63653"/>
    <w:rsid w:val="00C708AE"/>
    <w:rsid w:val="00C70DED"/>
    <w:rsid w:val="00C83A7C"/>
    <w:rsid w:val="00CA0178"/>
    <w:rsid w:val="00CA5D20"/>
    <w:rsid w:val="00CB565C"/>
    <w:rsid w:val="00CB7B4B"/>
    <w:rsid w:val="00CC1517"/>
    <w:rsid w:val="00CC27E9"/>
    <w:rsid w:val="00CD4DC9"/>
    <w:rsid w:val="00CD71C3"/>
    <w:rsid w:val="00CF47D0"/>
    <w:rsid w:val="00D14EBD"/>
    <w:rsid w:val="00D34D2C"/>
    <w:rsid w:val="00D62983"/>
    <w:rsid w:val="00D63B8E"/>
    <w:rsid w:val="00D668CF"/>
    <w:rsid w:val="00D71999"/>
    <w:rsid w:val="00D71B8A"/>
    <w:rsid w:val="00D87FA7"/>
    <w:rsid w:val="00DB3FFD"/>
    <w:rsid w:val="00DB438F"/>
    <w:rsid w:val="00DB7D27"/>
    <w:rsid w:val="00DC3C98"/>
    <w:rsid w:val="00DC5CB5"/>
    <w:rsid w:val="00DD433B"/>
    <w:rsid w:val="00DD5F37"/>
    <w:rsid w:val="00DE0530"/>
    <w:rsid w:val="00DE191D"/>
    <w:rsid w:val="00DE67F1"/>
    <w:rsid w:val="00DF2816"/>
    <w:rsid w:val="00DF7A92"/>
    <w:rsid w:val="00E22830"/>
    <w:rsid w:val="00E2634D"/>
    <w:rsid w:val="00E270EA"/>
    <w:rsid w:val="00E3318D"/>
    <w:rsid w:val="00E4070E"/>
    <w:rsid w:val="00E547BF"/>
    <w:rsid w:val="00E763C2"/>
    <w:rsid w:val="00E84C6B"/>
    <w:rsid w:val="00E9575C"/>
    <w:rsid w:val="00EC7F45"/>
    <w:rsid w:val="00ED100F"/>
    <w:rsid w:val="00ED335B"/>
    <w:rsid w:val="00EE6A83"/>
    <w:rsid w:val="00F16F1F"/>
    <w:rsid w:val="00F25827"/>
    <w:rsid w:val="00F35E71"/>
    <w:rsid w:val="00F369F0"/>
    <w:rsid w:val="00F3752D"/>
    <w:rsid w:val="00F47C00"/>
    <w:rsid w:val="00F545D4"/>
    <w:rsid w:val="00F74A94"/>
    <w:rsid w:val="00F82A0E"/>
    <w:rsid w:val="00F91418"/>
    <w:rsid w:val="00F97404"/>
    <w:rsid w:val="00FA49FF"/>
    <w:rsid w:val="00FA76F8"/>
    <w:rsid w:val="00FB3706"/>
    <w:rsid w:val="00FB4984"/>
    <w:rsid w:val="00FC25D0"/>
    <w:rsid w:val="00FD228C"/>
    <w:rsid w:val="00FD269B"/>
    <w:rsid w:val="00FE37AD"/>
    <w:rsid w:val="00FE471F"/>
    <w:rsid w:val="01244655"/>
    <w:rsid w:val="016918E1"/>
    <w:rsid w:val="01A811B1"/>
    <w:rsid w:val="01D86994"/>
    <w:rsid w:val="022A679E"/>
    <w:rsid w:val="02657F77"/>
    <w:rsid w:val="027A783E"/>
    <w:rsid w:val="02E419D8"/>
    <w:rsid w:val="02F76DEB"/>
    <w:rsid w:val="03182BA3"/>
    <w:rsid w:val="03633F1C"/>
    <w:rsid w:val="03F74790"/>
    <w:rsid w:val="04101642"/>
    <w:rsid w:val="04A14C29"/>
    <w:rsid w:val="04CF2BA3"/>
    <w:rsid w:val="04EB0520"/>
    <w:rsid w:val="056E3078"/>
    <w:rsid w:val="05823F16"/>
    <w:rsid w:val="059960BA"/>
    <w:rsid w:val="06E615DF"/>
    <w:rsid w:val="07205265"/>
    <w:rsid w:val="077A4051"/>
    <w:rsid w:val="07B435A9"/>
    <w:rsid w:val="08E745A8"/>
    <w:rsid w:val="09573962"/>
    <w:rsid w:val="09806D25"/>
    <w:rsid w:val="0991427C"/>
    <w:rsid w:val="0A1D7302"/>
    <w:rsid w:val="0A317706"/>
    <w:rsid w:val="0A631516"/>
    <w:rsid w:val="0AB6351E"/>
    <w:rsid w:val="0AC614A7"/>
    <w:rsid w:val="0AEE04B7"/>
    <w:rsid w:val="0B2A221B"/>
    <w:rsid w:val="0B486311"/>
    <w:rsid w:val="0B78105E"/>
    <w:rsid w:val="0BB41243"/>
    <w:rsid w:val="0BCF52F0"/>
    <w:rsid w:val="0C323F8C"/>
    <w:rsid w:val="0D8039B2"/>
    <w:rsid w:val="0DAA0079"/>
    <w:rsid w:val="0DF41772"/>
    <w:rsid w:val="0E160A2D"/>
    <w:rsid w:val="0E7D3C55"/>
    <w:rsid w:val="0ED92CE9"/>
    <w:rsid w:val="0EE235F9"/>
    <w:rsid w:val="0EF06192"/>
    <w:rsid w:val="0FF1019B"/>
    <w:rsid w:val="0FF756C0"/>
    <w:rsid w:val="10165F74"/>
    <w:rsid w:val="10897170"/>
    <w:rsid w:val="11051FFA"/>
    <w:rsid w:val="11150096"/>
    <w:rsid w:val="11EC0FF2"/>
    <w:rsid w:val="120A3E26"/>
    <w:rsid w:val="121B1B42"/>
    <w:rsid w:val="1247170C"/>
    <w:rsid w:val="124E4B91"/>
    <w:rsid w:val="137E4DB5"/>
    <w:rsid w:val="137F1409"/>
    <w:rsid w:val="13C96FBB"/>
    <w:rsid w:val="14162C01"/>
    <w:rsid w:val="14247998"/>
    <w:rsid w:val="144D1B4E"/>
    <w:rsid w:val="14831037"/>
    <w:rsid w:val="14BE4314"/>
    <w:rsid w:val="14E632DA"/>
    <w:rsid w:val="14E63E78"/>
    <w:rsid w:val="15D5735F"/>
    <w:rsid w:val="15DD7FEE"/>
    <w:rsid w:val="163B7162"/>
    <w:rsid w:val="165434B0"/>
    <w:rsid w:val="167304E2"/>
    <w:rsid w:val="16761466"/>
    <w:rsid w:val="16C90EF1"/>
    <w:rsid w:val="16F7073B"/>
    <w:rsid w:val="16FF5B47"/>
    <w:rsid w:val="17037DD1"/>
    <w:rsid w:val="170F3BE3"/>
    <w:rsid w:val="171A4173"/>
    <w:rsid w:val="17473D3D"/>
    <w:rsid w:val="17673368"/>
    <w:rsid w:val="177C6796"/>
    <w:rsid w:val="17A93DE2"/>
    <w:rsid w:val="17FD7301"/>
    <w:rsid w:val="185B027C"/>
    <w:rsid w:val="18790C37"/>
    <w:rsid w:val="189936EA"/>
    <w:rsid w:val="189A155D"/>
    <w:rsid w:val="18F44CFE"/>
    <w:rsid w:val="19231FC9"/>
    <w:rsid w:val="197F26E3"/>
    <w:rsid w:val="19835866"/>
    <w:rsid w:val="1988776F"/>
    <w:rsid w:val="19AA6DAB"/>
    <w:rsid w:val="19E24986"/>
    <w:rsid w:val="19E960DC"/>
    <w:rsid w:val="1A466C29"/>
    <w:rsid w:val="1A826A8E"/>
    <w:rsid w:val="1ABC6868"/>
    <w:rsid w:val="1ACA6E82"/>
    <w:rsid w:val="1AEC06BC"/>
    <w:rsid w:val="1B65127F"/>
    <w:rsid w:val="1BD27039"/>
    <w:rsid w:val="1BDF097A"/>
    <w:rsid w:val="1BEB6F5A"/>
    <w:rsid w:val="1C215235"/>
    <w:rsid w:val="1C307A4E"/>
    <w:rsid w:val="1C5C3D95"/>
    <w:rsid w:val="1C735275"/>
    <w:rsid w:val="1C9B387A"/>
    <w:rsid w:val="1CF83C14"/>
    <w:rsid w:val="1CFC5E9D"/>
    <w:rsid w:val="1D150FC5"/>
    <w:rsid w:val="1D1A36B1"/>
    <w:rsid w:val="1D5A6144"/>
    <w:rsid w:val="1D9E7C25"/>
    <w:rsid w:val="1DAB4D3C"/>
    <w:rsid w:val="1DAC27BE"/>
    <w:rsid w:val="1DC16EE0"/>
    <w:rsid w:val="1E2D4011"/>
    <w:rsid w:val="1E2F4F95"/>
    <w:rsid w:val="1E5054CA"/>
    <w:rsid w:val="1E5A5DD9"/>
    <w:rsid w:val="1E66766E"/>
    <w:rsid w:val="1EAD1FE0"/>
    <w:rsid w:val="1EF849DE"/>
    <w:rsid w:val="1F3B41CE"/>
    <w:rsid w:val="1F4B0BE5"/>
    <w:rsid w:val="1F62660C"/>
    <w:rsid w:val="1F6A5C17"/>
    <w:rsid w:val="1F6F5922"/>
    <w:rsid w:val="1F7B3932"/>
    <w:rsid w:val="1FA025B1"/>
    <w:rsid w:val="1FEE6323"/>
    <w:rsid w:val="20282B52"/>
    <w:rsid w:val="2044337B"/>
    <w:rsid w:val="205A0DA2"/>
    <w:rsid w:val="206F32C6"/>
    <w:rsid w:val="208352EF"/>
    <w:rsid w:val="214467A1"/>
    <w:rsid w:val="22A603EB"/>
    <w:rsid w:val="22FA03F1"/>
    <w:rsid w:val="2301396F"/>
    <w:rsid w:val="23562D09"/>
    <w:rsid w:val="235F5B97"/>
    <w:rsid w:val="23B2431C"/>
    <w:rsid w:val="23B81AA9"/>
    <w:rsid w:val="24271D5D"/>
    <w:rsid w:val="242877DE"/>
    <w:rsid w:val="24B0423F"/>
    <w:rsid w:val="24D06CF2"/>
    <w:rsid w:val="25036248"/>
    <w:rsid w:val="254A4D10"/>
    <w:rsid w:val="26436BD4"/>
    <w:rsid w:val="2683543F"/>
    <w:rsid w:val="268818C7"/>
    <w:rsid w:val="26911349"/>
    <w:rsid w:val="269B2AE6"/>
    <w:rsid w:val="26A45974"/>
    <w:rsid w:val="26D43F45"/>
    <w:rsid w:val="26F33556"/>
    <w:rsid w:val="277779B8"/>
    <w:rsid w:val="27C31956"/>
    <w:rsid w:val="2839301C"/>
    <w:rsid w:val="284F59AF"/>
    <w:rsid w:val="28A11F36"/>
    <w:rsid w:val="29167977"/>
    <w:rsid w:val="29552CDF"/>
    <w:rsid w:val="29641C74"/>
    <w:rsid w:val="29A51F1F"/>
    <w:rsid w:val="2A15789A"/>
    <w:rsid w:val="2A1D2728"/>
    <w:rsid w:val="2A24682F"/>
    <w:rsid w:val="2A261D32"/>
    <w:rsid w:val="2A315B45"/>
    <w:rsid w:val="2A8F1762"/>
    <w:rsid w:val="2AC92840"/>
    <w:rsid w:val="2B5946AE"/>
    <w:rsid w:val="2B6C58CD"/>
    <w:rsid w:val="2B755980"/>
    <w:rsid w:val="2B773C5E"/>
    <w:rsid w:val="2B8A190C"/>
    <w:rsid w:val="2B9E191F"/>
    <w:rsid w:val="2BFA4B41"/>
    <w:rsid w:val="2C254D3D"/>
    <w:rsid w:val="2C2801FE"/>
    <w:rsid w:val="2C38629A"/>
    <w:rsid w:val="2C4A1A38"/>
    <w:rsid w:val="2CEE6CC2"/>
    <w:rsid w:val="2D3164B2"/>
    <w:rsid w:val="2D645A08"/>
    <w:rsid w:val="2D7A4328"/>
    <w:rsid w:val="2DCA4EFD"/>
    <w:rsid w:val="2E093F97"/>
    <w:rsid w:val="2E6A2D37"/>
    <w:rsid w:val="2E8B79E8"/>
    <w:rsid w:val="2ECC1AD7"/>
    <w:rsid w:val="2EE93605"/>
    <w:rsid w:val="2F257BE7"/>
    <w:rsid w:val="2F48361F"/>
    <w:rsid w:val="2F7431E9"/>
    <w:rsid w:val="2FBB395D"/>
    <w:rsid w:val="300375D5"/>
    <w:rsid w:val="301D017F"/>
    <w:rsid w:val="303E6135"/>
    <w:rsid w:val="306F6B4B"/>
    <w:rsid w:val="307D149D"/>
    <w:rsid w:val="30B360F4"/>
    <w:rsid w:val="30C86099"/>
    <w:rsid w:val="30CB701E"/>
    <w:rsid w:val="31985CFA"/>
    <w:rsid w:val="31F82F08"/>
    <w:rsid w:val="320A1F29"/>
    <w:rsid w:val="32410D7E"/>
    <w:rsid w:val="32EE6E1E"/>
    <w:rsid w:val="33051DC0"/>
    <w:rsid w:val="332A457E"/>
    <w:rsid w:val="332C7A82"/>
    <w:rsid w:val="339E2CBF"/>
    <w:rsid w:val="33AC3853"/>
    <w:rsid w:val="33BD3756"/>
    <w:rsid w:val="33CF2B0E"/>
    <w:rsid w:val="33EC20BE"/>
    <w:rsid w:val="34577B61"/>
    <w:rsid w:val="347A4456"/>
    <w:rsid w:val="347C3F2B"/>
    <w:rsid w:val="3480345F"/>
    <w:rsid w:val="34EE76E2"/>
    <w:rsid w:val="35527407"/>
    <w:rsid w:val="35B778E1"/>
    <w:rsid w:val="35D344DD"/>
    <w:rsid w:val="363C0689"/>
    <w:rsid w:val="365F1412"/>
    <w:rsid w:val="36625046"/>
    <w:rsid w:val="366F7BDE"/>
    <w:rsid w:val="369F70A9"/>
    <w:rsid w:val="36A66A34"/>
    <w:rsid w:val="36D24400"/>
    <w:rsid w:val="36F36B33"/>
    <w:rsid w:val="37F7095F"/>
    <w:rsid w:val="37F741E2"/>
    <w:rsid w:val="380037ED"/>
    <w:rsid w:val="389C6EEF"/>
    <w:rsid w:val="38AF010E"/>
    <w:rsid w:val="38FE3710"/>
    <w:rsid w:val="39374B6F"/>
    <w:rsid w:val="39E04459"/>
    <w:rsid w:val="3A021CB9"/>
    <w:rsid w:val="3A2545A4"/>
    <w:rsid w:val="3A3D2D97"/>
    <w:rsid w:val="3A7B5D52"/>
    <w:rsid w:val="3A8C1C1D"/>
    <w:rsid w:val="3AA2053D"/>
    <w:rsid w:val="3AB33DE1"/>
    <w:rsid w:val="3ABC01EE"/>
    <w:rsid w:val="3B4D6458"/>
    <w:rsid w:val="3B7153D4"/>
    <w:rsid w:val="3BB60406"/>
    <w:rsid w:val="3BCB4B28"/>
    <w:rsid w:val="3C1F45B2"/>
    <w:rsid w:val="3C211CB3"/>
    <w:rsid w:val="3C3E7065"/>
    <w:rsid w:val="3C4569F0"/>
    <w:rsid w:val="3CEA16FC"/>
    <w:rsid w:val="3D2518E1"/>
    <w:rsid w:val="3D5412E6"/>
    <w:rsid w:val="3D931F15"/>
    <w:rsid w:val="3DB05C42"/>
    <w:rsid w:val="3E6B4177"/>
    <w:rsid w:val="3EAB715E"/>
    <w:rsid w:val="3F027B6D"/>
    <w:rsid w:val="3F5440F4"/>
    <w:rsid w:val="3F6E2720"/>
    <w:rsid w:val="3FE453F3"/>
    <w:rsid w:val="3FFA5B87"/>
    <w:rsid w:val="400F6A26"/>
    <w:rsid w:val="404E025E"/>
    <w:rsid w:val="408469E4"/>
    <w:rsid w:val="40D47A68"/>
    <w:rsid w:val="412E4C7F"/>
    <w:rsid w:val="413F7118"/>
    <w:rsid w:val="41710BEB"/>
    <w:rsid w:val="41B27457"/>
    <w:rsid w:val="41E27C26"/>
    <w:rsid w:val="41EF4D3D"/>
    <w:rsid w:val="420B0DEA"/>
    <w:rsid w:val="422F0C65"/>
    <w:rsid w:val="423854A4"/>
    <w:rsid w:val="42DA493A"/>
    <w:rsid w:val="433B3AAA"/>
    <w:rsid w:val="436D772C"/>
    <w:rsid w:val="440F27B9"/>
    <w:rsid w:val="4489703F"/>
    <w:rsid w:val="44BC28D1"/>
    <w:rsid w:val="45387C9D"/>
    <w:rsid w:val="45C81B0A"/>
    <w:rsid w:val="4616768B"/>
    <w:rsid w:val="4635213E"/>
    <w:rsid w:val="46DD5DCF"/>
    <w:rsid w:val="472C13D1"/>
    <w:rsid w:val="475C4A40"/>
    <w:rsid w:val="476602B2"/>
    <w:rsid w:val="47A7459E"/>
    <w:rsid w:val="47F33399"/>
    <w:rsid w:val="480C42C3"/>
    <w:rsid w:val="4842699B"/>
    <w:rsid w:val="485C7545"/>
    <w:rsid w:val="488A4B91"/>
    <w:rsid w:val="49AC5F6D"/>
    <w:rsid w:val="49B642FE"/>
    <w:rsid w:val="4A016110"/>
    <w:rsid w:val="4A5959BF"/>
    <w:rsid w:val="4AD856DA"/>
    <w:rsid w:val="4B1D294C"/>
    <w:rsid w:val="4B951311"/>
    <w:rsid w:val="4C2D6F06"/>
    <w:rsid w:val="4C8D3756"/>
    <w:rsid w:val="4CA45C4B"/>
    <w:rsid w:val="4D5C53F9"/>
    <w:rsid w:val="4D8C0147"/>
    <w:rsid w:val="4D917E52"/>
    <w:rsid w:val="4DE230D4"/>
    <w:rsid w:val="4DEE01EB"/>
    <w:rsid w:val="4E006AFF"/>
    <w:rsid w:val="4E5F17A4"/>
    <w:rsid w:val="4EAF6FA4"/>
    <w:rsid w:val="4F167C4E"/>
    <w:rsid w:val="4F223930"/>
    <w:rsid w:val="4F316F59"/>
    <w:rsid w:val="4F7D417A"/>
    <w:rsid w:val="4F7F767D"/>
    <w:rsid w:val="4FB87457"/>
    <w:rsid w:val="4FBA295A"/>
    <w:rsid w:val="4FC77A71"/>
    <w:rsid w:val="4FF572BC"/>
    <w:rsid w:val="50465F98"/>
    <w:rsid w:val="505F0EE9"/>
    <w:rsid w:val="50AE44EC"/>
    <w:rsid w:val="50D95330"/>
    <w:rsid w:val="50DB62B4"/>
    <w:rsid w:val="50EC654F"/>
    <w:rsid w:val="51124210"/>
    <w:rsid w:val="511E0023"/>
    <w:rsid w:val="512C4DBA"/>
    <w:rsid w:val="51357C48"/>
    <w:rsid w:val="51F42604"/>
    <w:rsid w:val="52260855"/>
    <w:rsid w:val="524B3013"/>
    <w:rsid w:val="526B7CC5"/>
    <w:rsid w:val="52C45733"/>
    <w:rsid w:val="530E71F5"/>
    <w:rsid w:val="539054D5"/>
    <w:rsid w:val="53E21E30"/>
    <w:rsid w:val="53F743B5"/>
    <w:rsid w:val="53F80750"/>
    <w:rsid w:val="54275A1C"/>
    <w:rsid w:val="54495057"/>
    <w:rsid w:val="552D62FF"/>
    <w:rsid w:val="556E15B6"/>
    <w:rsid w:val="55802B56"/>
    <w:rsid w:val="55F54D13"/>
    <w:rsid w:val="569611DA"/>
    <w:rsid w:val="56AB0FBE"/>
    <w:rsid w:val="56E968A5"/>
    <w:rsid w:val="56FB00B1"/>
    <w:rsid w:val="5776198C"/>
    <w:rsid w:val="578135A0"/>
    <w:rsid w:val="57833220"/>
    <w:rsid w:val="583E71D6"/>
    <w:rsid w:val="585F2AFE"/>
    <w:rsid w:val="58AA4307"/>
    <w:rsid w:val="58AA6505"/>
    <w:rsid w:val="58D00985"/>
    <w:rsid w:val="58D60310"/>
    <w:rsid w:val="597D20E1"/>
    <w:rsid w:val="5A3D3EAE"/>
    <w:rsid w:val="5A7238F3"/>
    <w:rsid w:val="5AA31EC3"/>
    <w:rsid w:val="5B730F17"/>
    <w:rsid w:val="5BDF3E49"/>
    <w:rsid w:val="5C402BE9"/>
    <w:rsid w:val="5C7920FD"/>
    <w:rsid w:val="5CAB2299"/>
    <w:rsid w:val="5CBE34B8"/>
    <w:rsid w:val="5CD54512"/>
    <w:rsid w:val="5D194ACB"/>
    <w:rsid w:val="5D5C2AA5"/>
    <w:rsid w:val="5D85547F"/>
    <w:rsid w:val="5D9A631E"/>
    <w:rsid w:val="5DCC2370"/>
    <w:rsid w:val="5DE059C4"/>
    <w:rsid w:val="5DF16D2C"/>
    <w:rsid w:val="5E070ED0"/>
    <w:rsid w:val="5E0943D3"/>
    <w:rsid w:val="5E4332B3"/>
    <w:rsid w:val="5F0D61FF"/>
    <w:rsid w:val="5FD34CC4"/>
    <w:rsid w:val="5FEC7DEC"/>
    <w:rsid w:val="603A596D"/>
    <w:rsid w:val="603E7BF6"/>
    <w:rsid w:val="60C4204E"/>
    <w:rsid w:val="60C60DD4"/>
    <w:rsid w:val="60D57D69"/>
    <w:rsid w:val="610253B6"/>
    <w:rsid w:val="6164466D"/>
    <w:rsid w:val="61BE356A"/>
    <w:rsid w:val="61CB6485"/>
    <w:rsid w:val="62173BF9"/>
    <w:rsid w:val="62583769"/>
    <w:rsid w:val="625B0E6A"/>
    <w:rsid w:val="62B527FD"/>
    <w:rsid w:val="62B94A87"/>
    <w:rsid w:val="62C52A98"/>
    <w:rsid w:val="62C94D21"/>
    <w:rsid w:val="62D068AA"/>
    <w:rsid w:val="631E69AA"/>
    <w:rsid w:val="63257D5E"/>
    <w:rsid w:val="63392A57"/>
    <w:rsid w:val="6359088C"/>
    <w:rsid w:val="636E53B4"/>
    <w:rsid w:val="63D15554"/>
    <w:rsid w:val="640910F4"/>
    <w:rsid w:val="64155AA4"/>
    <w:rsid w:val="643B6E2E"/>
    <w:rsid w:val="646F5052"/>
    <w:rsid w:val="64713DD8"/>
    <w:rsid w:val="64852A79"/>
    <w:rsid w:val="64A5079D"/>
    <w:rsid w:val="64B81FCE"/>
    <w:rsid w:val="64EB52A1"/>
    <w:rsid w:val="658E545B"/>
    <w:rsid w:val="65A96355"/>
    <w:rsid w:val="65F94B59"/>
    <w:rsid w:val="66CA7430"/>
    <w:rsid w:val="66D76745"/>
    <w:rsid w:val="6703088E"/>
    <w:rsid w:val="673448E0"/>
    <w:rsid w:val="67650933"/>
    <w:rsid w:val="676D5D3F"/>
    <w:rsid w:val="67AE2F25"/>
    <w:rsid w:val="67CE4ADF"/>
    <w:rsid w:val="67ED011D"/>
    <w:rsid w:val="68064C39"/>
    <w:rsid w:val="685B2144"/>
    <w:rsid w:val="68981FA9"/>
    <w:rsid w:val="68BD6966"/>
    <w:rsid w:val="690D4166"/>
    <w:rsid w:val="69A50E62"/>
    <w:rsid w:val="69F875E7"/>
    <w:rsid w:val="6A077C02"/>
    <w:rsid w:val="6A0B0806"/>
    <w:rsid w:val="6A62486A"/>
    <w:rsid w:val="6AB91C24"/>
    <w:rsid w:val="6AD3024F"/>
    <w:rsid w:val="6B1B47D3"/>
    <w:rsid w:val="6C6241DE"/>
    <w:rsid w:val="6C8A7920"/>
    <w:rsid w:val="6C9D43C3"/>
    <w:rsid w:val="6CB23063"/>
    <w:rsid w:val="6D871DC2"/>
    <w:rsid w:val="6DE57D58"/>
    <w:rsid w:val="6E655F2D"/>
    <w:rsid w:val="6E752944"/>
    <w:rsid w:val="6E891990"/>
    <w:rsid w:val="6EAE2944"/>
    <w:rsid w:val="6F3E7E0E"/>
    <w:rsid w:val="6FDB76B6"/>
    <w:rsid w:val="6FF5793D"/>
    <w:rsid w:val="7038712D"/>
    <w:rsid w:val="706865F7"/>
    <w:rsid w:val="70944D3E"/>
    <w:rsid w:val="71032079"/>
    <w:rsid w:val="71172F17"/>
    <w:rsid w:val="711C739F"/>
    <w:rsid w:val="713737CC"/>
    <w:rsid w:val="713F665A"/>
    <w:rsid w:val="71637B14"/>
    <w:rsid w:val="719031F4"/>
    <w:rsid w:val="719360E4"/>
    <w:rsid w:val="719F7978"/>
    <w:rsid w:val="71B1246E"/>
    <w:rsid w:val="71B82AA1"/>
    <w:rsid w:val="71D72328"/>
    <w:rsid w:val="71E31D65"/>
    <w:rsid w:val="71ED0B4C"/>
    <w:rsid w:val="72062BA0"/>
    <w:rsid w:val="731507DF"/>
    <w:rsid w:val="73E42131"/>
    <w:rsid w:val="744E5F5D"/>
    <w:rsid w:val="74D33D47"/>
    <w:rsid w:val="75D37E5F"/>
    <w:rsid w:val="764056FF"/>
    <w:rsid w:val="765C68D8"/>
    <w:rsid w:val="766A2DD4"/>
    <w:rsid w:val="76FB0145"/>
    <w:rsid w:val="770045CD"/>
    <w:rsid w:val="77130F0E"/>
    <w:rsid w:val="77326F9A"/>
    <w:rsid w:val="776C4DAC"/>
    <w:rsid w:val="77AC1D2F"/>
    <w:rsid w:val="789B656C"/>
    <w:rsid w:val="78F45D01"/>
    <w:rsid w:val="78F73403"/>
    <w:rsid w:val="791B013F"/>
    <w:rsid w:val="792E135E"/>
    <w:rsid w:val="795D1EAD"/>
    <w:rsid w:val="797D10DD"/>
    <w:rsid w:val="798D1378"/>
    <w:rsid w:val="7A1518CE"/>
    <w:rsid w:val="7A50273A"/>
    <w:rsid w:val="7A541EBF"/>
    <w:rsid w:val="7A6413DB"/>
    <w:rsid w:val="7A676ADC"/>
    <w:rsid w:val="7A6A7A61"/>
    <w:rsid w:val="7A9F1298"/>
    <w:rsid w:val="7AA07F3B"/>
    <w:rsid w:val="7AF244C2"/>
    <w:rsid w:val="7B846009"/>
    <w:rsid w:val="7B9D21C8"/>
    <w:rsid w:val="7C484A74"/>
    <w:rsid w:val="7CB0319E"/>
    <w:rsid w:val="7D321147"/>
    <w:rsid w:val="7D745762"/>
    <w:rsid w:val="7D8D4655"/>
    <w:rsid w:val="7E3D1A2B"/>
    <w:rsid w:val="7E676FEC"/>
    <w:rsid w:val="7E6A37F4"/>
    <w:rsid w:val="7EA65BD8"/>
    <w:rsid w:val="7ECC7C86"/>
    <w:rsid w:val="7F2F22B8"/>
    <w:rsid w:val="7F5F2E08"/>
    <w:rsid w:val="7F795BB0"/>
    <w:rsid w:val="7FDE58D4"/>
    <w:rsid w:val="7FEF6E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0"/>
      <w:szCs w:val="32"/>
    </w:rPr>
  </w:style>
  <w:style w:type="paragraph" w:styleId="4">
    <w:name w:val="heading 3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link w:val="2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4"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eastAsia="Times New Roman"/>
      <w:b/>
      <w:bCs/>
      <w:sz w:val="24"/>
      <w:szCs w:val="28"/>
    </w:rPr>
  </w:style>
  <w:style w:type="character" w:default="1" w:styleId="18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0"/>
    <w:unhideWhenUsed/>
    <w:qFormat/>
    <w:uiPriority w:val="99"/>
    <w:pPr>
      <w:jc w:val="left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17">
    <w:name w:val="Light Shading"/>
    <w:basedOn w:val="1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character" w:styleId="19">
    <w:name w:val="page number"/>
    <w:basedOn w:val="18"/>
    <w:qFormat/>
    <w:uiPriority w:val="0"/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8"/>
    <w:unhideWhenUsed/>
    <w:qFormat/>
    <w:uiPriority w:val="99"/>
    <w:rPr>
      <w:sz w:val="21"/>
      <w:szCs w:val="21"/>
    </w:rPr>
  </w:style>
  <w:style w:type="paragraph" w:customStyle="1" w:styleId="2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character" w:customStyle="1" w:styleId="23">
    <w:name w:val="标题 1 Char"/>
    <w:basedOn w:val="18"/>
    <w:link w:val="2"/>
    <w:qFormat/>
    <w:uiPriority w:val="9"/>
    <w:rPr>
      <w:b/>
      <w:bCs/>
      <w:kern w:val="44"/>
      <w:sz w:val="32"/>
      <w:szCs w:val="44"/>
    </w:rPr>
  </w:style>
  <w:style w:type="character" w:customStyle="1" w:styleId="24">
    <w:name w:val="标题 2 Char"/>
    <w:basedOn w:val="18"/>
    <w:link w:val="3"/>
    <w:qFormat/>
    <w:uiPriority w:val="9"/>
    <w:rPr>
      <w:rFonts w:ascii="Cambria" w:hAnsi="Cambria" w:eastAsia="宋体"/>
      <w:b/>
      <w:bCs/>
      <w:sz w:val="30"/>
      <w:szCs w:val="32"/>
    </w:rPr>
  </w:style>
  <w:style w:type="character" w:customStyle="1" w:styleId="25">
    <w:name w:val="标题 3 Char"/>
    <w:basedOn w:val="18"/>
    <w:link w:val="4"/>
    <w:qFormat/>
    <w:uiPriority w:val="9"/>
    <w:rPr>
      <w:b/>
      <w:bCs/>
      <w:sz w:val="28"/>
      <w:szCs w:val="32"/>
    </w:rPr>
  </w:style>
  <w:style w:type="character" w:customStyle="1" w:styleId="26">
    <w:name w:val="标题 4 Char"/>
    <w:basedOn w:val="18"/>
    <w:link w:val="5"/>
    <w:qFormat/>
    <w:uiPriority w:val="9"/>
    <w:rPr>
      <w:rFonts w:ascii="Cambria" w:hAnsi="Cambria" w:eastAsia="宋体"/>
      <w:b/>
      <w:bCs/>
      <w:sz w:val="24"/>
      <w:szCs w:val="28"/>
    </w:rPr>
  </w:style>
  <w:style w:type="character" w:customStyle="1" w:styleId="27">
    <w:name w:val="标题 5 Char"/>
    <w:basedOn w:val="18"/>
    <w:link w:val="6"/>
    <w:qFormat/>
    <w:uiPriority w:val="9"/>
    <w:rPr>
      <w:rFonts w:eastAsia="Times New Roman"/>
      <w:b/>
      <w:bCs/>
      <w:sz w:val="24"/>
      <w:szCs w:val="28"/>
    </w:rPr>
  </w:style>
  <w:style w:type="character" w:customStyle="1" w:styleId="28">
    <w:name w:val="页眉 Char"/>
    <w:basedOn w:val="18"/>
    <w:link w:val="11"/>
    <w:qFormat/>
    <w:uiPriority w:val="99"/>
    <w:rPr>
      <w:sz w:val="18"/>
      <w:szCs w:val="18"/>
    </w:rPr>
  </w:style>
  <w:style w:type="character" w:customStyle="1" w:styleId="29">
    <w:name w:val="页脚 Char"/>
    <w:basedOn w:val="18"/>
    <w:link w:val="10"/>
    <w:qFormat/>
    <w:uiPriority w:val="99"/>
    <w:rPr>
      <w:sz w:val="18"/>
      <w:szCs w:val="18"/>
    </w:rPr>
  </w:style>
  <w:style w:type="character" w:customStyle="1" w:styleId="30">
    <w:name w:val="批注文字 Char"/>
    <w:basedOn w:val="18"/>
    <w:link w:val="7"/>
    <w:semiHidden/>
    <w:qFormat/>
    <w:uiPriority w:val="99"/>
  </w:style>
  <w:style w:type="character" w:customStyle="1" w:styleId="31">
    <w:name w:val="批注框文本 Char"/>
    <w:basedOn w:val="18"/>
    <w:link w:val="9"/>
    <w:semiHidden/>
    <w:qFormat/>
    <w:uiPriority w:val="99"/>
    <w:rPr>
      <w:sz w:val="18"/>
      <w:szCs w:val="18"/>
    </w:rPr>
  </w:style>
  <w:style w:type="character" w:customStyle="1" w:styleId="32">
    <w:name w:val="font31"/>
    <w:basedOn w:val="18"/>
    <w:qFormat/>
    <w:uiPriority w:val="0"/>
    <w:rPr>
      <w:rFonts w:hint="default" w:ascii="Times New Roman" w:hAnsi="Times New Roman" w:cs="Times New Roman"/>
      <w:b/>
      <w:color w:val="000000"/>
      <w:sz w:val="21"/>
      <w:szCs w:val="21"/>
      <w:u w:val="none"/>
    </w:rPr>
  </w:style>
  <w:style w:type="character" w:customStyle="1" w:styleId="33">
    <w:name w:val="font21"/>
    <w:basedOn w:val="18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  <w:vertAlign w:val="superscript"/>
    </w:rPr>
  </w:style>
  <w:style w:type="character" w:customStyle="1" w:styleId="34">
    <w:name w:val="font61"/>
    <w:basedOn w:val="18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35">
    <w:name w:val="font11"/>
    <w:basedOn w:val="18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36">
    <w:name w:val="font01"/>
    <w:basedOn w:val="18"/>
    <w:qFormat/>
    <w:uiPriority w:val="0"/>
    <w:rPr>
      <w:rFonts w:hint="eastAsia" w:ascii="Times New Roman" w:hAnsi="Times New Roman" w:cs="Times New Roman"/>
      <w:color w:val="000000"/>
      <w:sz w:val="21"/>
      <w:szCs w:val="21"/>
      <w:u w:val="none"/>
    </w:rPr>
  </w:style>
  <w:style w:type="table" w:customStyle="1" w:styleId="37">
    <w:name w:val="网格型1"/>
    <w:basedOn w:val="1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38">
    <w:name w:val="lj正文"/>
    <w:qFormat/>
    <w:uiPriority w:val="0"/>
    <w:pPr>
      <w:spacing w:line="360" w:lineRule="auto"/>
      <w:ind w:firstLine="200" w:firstLineChars="200"/>
    </w:pPr>
    <w:rPr>
      <w:rFonts w:ascii="宋体" w:hAnsi="宋体" w:eastAsia="宋体" w:cs="Times New Roman"/>
      <w:color w:val="000000"/>
      <w:sz w:val="24"/>
      <w:szCs w:val="24"/>
      <w:shd w:val="clear" w:color="auto" w:fill="FFFFFF"/>
      <w:lang w:val="en-US" w:eastAsia="zh-CN" w:bidi="ar-SA"/>
    </w:rPr>
  </w:style>
  <w:style w:type="character" w:customStyle="1" w:styleId="39">
    <w:name w:val="Font Style51"/>
    <w:qFormat/>
    <w:uiPriority w:val="0"/>
    <w:rPr>
      <w:rFonts w:ascii="宋体" w:eastAsia="宋体" w:cs="宋体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EDC025-2F34-4924-AE3E-5068BE68D2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543</Words>
  <Characters>3097</Characters>
  <Lines>25</Lines>
  <Paragraphs>7</Paragraphs>
  <TotalTime>0</TotalTime>
  <ScaleCrop>false</ScaleCrop>
  <LinksUpToDate>false</LinksUpToDate>
  <CharactersWithSpaces>3633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2016-07-04T01:09:00Z</dcterms:created>
  <dc:creator>win71</dc:creator>
  <cp:lastModifiedBy>_ 李漂亮 _</cp:lastModifiedBy>
  <dcterms:modified xsi:type="dcterms:W3CDTF">2019-06-30T09:00:53Z</dcterms:modified>
  <dc:title>_x0001_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